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896EFA">
        <w:rPr>
          <w:b/>
          <w:sz w:val="24"/>
          <w:szCs w:val="24"/>
        </w:rPr>
        <w:t>Астрономия</w:t>
      </w:r>
      <w:r w:rsidRPr="003C03BB">
        <w:rPr>
          <w:b/>
          <w:sz w:val="24"/>
          <w:szCs w:val="24"/>
        </w:rPr>
        <w:t xml:space="preserve">» для </w:t>
      </w:r>
      <w:r w:rsidR="00FA4F8B">
        <w:rPr>
          <w:b/>
          <w:sz w:val="24"/>
          <w:szCs w:val="24"/>
        </w:rPr>
        <w:t>10</w:t>
      </w:r>
      <w:r w:rsidR="00173EF1" w:rsidRPr="003C03BB">
        <w:rPr>
          <w:b/>
          <w:sz w:val="24"/>
          <w:szCs w:val="24"/>
        </w:rPr>
        <w:t xml:space="preserve">  </w:t>
      </w:r>
      <w:r w:rsidR="007E6B4A">
        <w:rPr>
          <w:b/>
          <w:sz w:val="24"/>
          <w:szCs w:val="24"/>
        </w:rPr>
        <w:t>класса</w:t>
      </w:r>
      <w:bookmarkStart w:id="0" w:name="_GoBack"/>
      <w:bookmarkEnd w:id="0"/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Нормативно-правовая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 xml:space="preserve">    Рабочая учебная программа составлена на основании следующих нормативно-правовых документов: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Федеральный закон Российской Федерации от 29 декабря 2012 г. N 273-ФЗ "Об образовании в Российской Федерации».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«Федеральный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 (ред. от 23.06.2015).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 xml:space="preserve">Приказ </w:t>
            </w:r>
            <w:proofErr w:type="spellStart"/>
            <w:r w:rsidRPr="008143DA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8143DA">
              <w:rPr>
                <w:sz w:val="24"/>
                <w:szCs w:val="24"/>
                <w:lang w:val="ru-RU"/>
              </w:rPr>
              <w:t xml:space="preserve">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№1089» от 07.06.17 № 506.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 xml:space="preserve">Приказ </w:t>
            </w:r>
            <w:proofErr w:type="spellStart"/>
            <w:r w:rsidRPr="008143DA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8143DA">
              <w:rPr>
                <w:sz w:val="24"/>
                <w:szCs w:val="24"/>
                <w:lang w:val="ru-RU"/>
              </w:rPr>
              <w:t xml:space="preserve"> «Об организации учебного предмета «Астрономия» от 20 июня 2017 г. №ТС-194/08г.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требования к условиям и организации обучения в общеобразовательных учреждениях» (с изменениями на 29.06.2011) (далее - СанПиН 2.4.2. 2821-10)</w:t>
            </w:r>
          </w:p>
          <w:p w:rsidR="008143DA" w:rsidRP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Образовательн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8143DA">
              <w:rPr>
                <w:sz w:val="24"/>
                <w:szCs w:val="24"/>
                <w:lang w:val="ru-RU"/>
              </w:rPr>
              <w:t xml:space="preserve"> программ</w:t>
            </w:r>
            <w:r>
              <w:rPr>
                <w:sz w:val="24"/>
                <w:szCs w:val="24"/>
                <w:lang w:val="ru-RU"/>
              </w:rPr>
              <w:t>ы</w:t>
            </w:r>
            <w:r w:rsidRPr="008143DA">
              <w:rPr>
                <w:sz w:val="24"/>
                <w:szCs w:val="24"/>
                <w:lang w:val="ru-RU"/>
              </w:rPr>
              <w:t xml:space="preserve"> школ</w:t>
            </w:r>
            <w:r>
              <w:rPr>
                <w:sz w:val="24"/>
                <w:szCs w:val="24"/>
                <w:lang w:val="ru-RU"/>
              </w:rPr>
              <w:t>ы</w:t>
            </w:r>
            <w:r w:rsidRPr="008143DA">
              <w:rPr>
                <w:sz w:val="24"/>
                <w:szCs w:val="24"/>
                <w:lang w:val="ru-RU"/>
              </w:rPr>
              <w:t>.</w:t>
            </w:r>
          </w:p>
          <w:p w:rsidR="008143DA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Учебн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 w:rsidRPr="008143DA">
              <w:rPr>
                <w:sz w:val="24"/>
                <w:szCs w:val="24"/>
                <w:lang w:val="ru-RU"/>
              </w:rPr>
              <w:t xml:space="preserve"> план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8143DA">
              <w:rPr>
                <w:sz w:val="24"/>
                <w:szCs w:val="24"/>
                <w:lang w:val="ru-RU"/>
              </w:rPr>
              <w:t xml:space="preserve"> школа </w:t>
            </w:r>
          </w:p>
          <w:p w:rsidR="00EA7523" w:rsidRPr="003C03BB" w:rsidRDefault="008143DA" w:rsidP="008143DA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перегрузок в классе с детьми разного уровня обучения и интереса к физике.</w:t>
            </w:r>
          </w:p>
        </w:tc>
      </w:tr>
      <w:tr w:rsidR="00EA7523" w:rsidRPr="003C03BB" w:rsidTr="009A4087">
        <w:trPr>
          <w:trHeight w:val="82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EA7523" w:rsidRPr="003C03BB" w:rsidRDefault="00EA7523" w:rsidP="000F68E5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Основные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цели</w:t>
            </w:r>
            <w:proofErr w:type="spellEnd"/>
            <w:r w:rsidRPr="003C03BB">
              <w:rPr>
                <w:sz w:val="24"/>
                <w:szCs w:val="24"/>
              </w:rPr>
              <w:t xml:space="preserve"> и </w:t>
            </w:r>
            <w:proofErr w:type="spellStart"/>
            <w:r w:rsidRPr="003C03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Цели и задачи обучения астрономии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 xml:space="preserve">Цели: 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осознание принципиальной роли астрономии в познании фундаментальных законов природы и формирования естественнонаучной картины мира;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 xml:space="preserve">овладение умениями объяснять видимое положение и движение небесных тел принципами </w:t>
            </w:r>
            <w:r w:rsidRPr="008143DA">
              <w:rPr>
                <w:sz w:val="24"/>
                <w:szCs w:val="24"/>
                <w:lang w:val="ru-RU"/>
              </w:rPr>
              <w:lastRenderedPageBreak/>
              <w:t>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формирование научного мировоззрения;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космонавтики;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 xml:space="preserve">приобретение </w:t>
            </w:r>
            <w:proofErr w:type="gramStart"/>
            <w:r w:rsidRPr="008143DA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143DA">
              <w:rPr>
                <w:sz w:val="24"/>
                <w:szCs w:val="24"/>
                <w:lang w:val="ru-RU"/>
              </w:rPr>
              <w:t xml:space="preserve"> опыта разнообразной деятельности, опыта 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устройств.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Задачи: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знакомство учащихся с методом научного познания и методами исследования астрофизики, астрономии и космонавтики.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</w:r>
            <w:proofErr w:type="gramStart"/>
            <w:r w:rsidRPr="008143DA">
              <w:rPr>
                <w:sz w:val="24"/>
                <w:szCs w:val="24"/>
                <w:lang w:val="ru-RU"/>
              </w:rPr>
              <w:t>формирующим</w:t>
            </w:r>
            <w:proofErr w:type="gramEnd"/>
            <w:r w:rsidRPr="008143DA">
              <w:rPr>
                <w:sz w:val="24"/>
                <w:szCs w:val="24"/>
                <w:lang w:val="ru-RU"/>
              </w:rPr>
              <w:t xml:space="preserve"> не только единую естественнонаучную картину мира, но и познавательные интересы, интеллектуальные и творческие способности;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 xml:space="preserve">формирование гражданской позиции и патриотическом воспитании </w:t>
            </w:r>
            <w:proofErr w:type="gramStart"/>
            <w:r w:rsidRPr="008143DA">
              <w:rPr>
                <w:sz w:val="24"/>
                <w:szCs w:val="24"/>
                <w:lang w:val="ru-RU"/>
              </w:rPr>
              <w:t>выпускников-Российская</w:t>
            </w:r>
            <w:proofErr w:type="gramEnd"/>
            <w:r w:rsidRPr="008143DA">
              <w:rPr>
                <w:sz w:val="24"/>
                <w:szCs w:val="24"/>
                <w:lang w:val="ru-RU"/>
              </w:rPr>
              <w:t xml:space="preserve"> Федерация в развитии астрономии, космонавтики и космофизики всегда занимала лидирующие позиции в мире; 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занимать активную гражданскую позицию по вопросам, связанным с развитием естественных наук и применением их достижений;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готовность интересоваться естественнонаучными идеями применительно к реальным задачам;</w:t>
            </w:r>
          </w:p>
          <w:p w:rsidR="008143DA" w:rsidRPr="008143DA" w:rsidRDefault="008143DA" w:rsidP="008143DA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8143DA">
              <w:rPr>
                <w:sz w:val="24"/>
                <w:szCs w:val="24"/>
                <w:lang w:val="ru-RU"/>
              </w:rPr>
              <w:t>•</w:t>
            </w:r>
            <w:r w:rsidRPr="008143DA">
              <w:rPr>
                <w:sz w:val="24"/>
                <w:szCs w:val="24"/>
                <w:lang w:val="ru-RU"/>
              </w:rPr>
              <w:tab/>
              <w:t>участвовать в аргументированном обсуждении проблем, относящихся к естественным наукам и технологиям,</w:t>
            </w:r>
          </w:p>
          <w:p w:rsidR="00EA7523" w:rsidRPr="003C03BB" w:rsidRDefault="00EA7523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</w:p>
        </w:tc>
      </w:tr>
      <w:tr w:rsidR="00EA7523" w:rsidRPr="003C03BB" w:rsidTr="008E3121">
        <w:trPr>
          <w:trHeight w:val="68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3C03BB" w:rsidRDefault="008E3121" w:rsidP="003C03BB">
            <w:pPr>
              <w:ind w:right="142" w:firstLine="425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Программа рассчитана на 35 часов, 1 часа в неделю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Планируемые результаты освоения учебного предмета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 xml:space="preserve"> В результате изучения астрономии на базовом уровне ученик должен 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знать/понимать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E3121">
              <w:rPr>
                <w:sz w:val="24"/>
                <w:szCs w:val="24"/>
                <w:lang w:val="ru-RU"/>
              </w:rPr>
              <w:lastRenderedPageBreak/>
              <w:t xml:space="preserve">•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      </w:r>
            <w:proofErr w:type="spellStart"/>
            <w:r w:rsidRPr="008E3121">
              <w:rPr>
                <w:sz w:val="24"/>
                <w:szCs w:val="24"/>
                <w:lang w:val="ru-RU"/>
              </w:rPr>
              <w:t>метеороид</w:t>
            </w:r>
            <w:proofErr w:type="spellEnd"/>
            <w:r w:rsidRPr="008E3121">
              <w:rPr>
                <w:sz w:val="24"/>
                <w:szCs w:val="24"/>
                <w:lang w:val="ru-RU"/>
              </w:rPr>
              <w:t>, планета, спутник, звезда, Солнечная система, Галактика, Вселенная, всемирное и поясное время, внесолнечная планета (</w:t>
            </w:r>
            <w:proofErr w:type="spellStart"/>
            <w:r w:rsidRPr="008E3121">
              <w:rPr>
                <w:sz w:val="24"/>
                <w:szCs w:val="24"/>
                <w:lang w:val="ru-RU"/>
              </w:rPr>
              <w:t>экзопланета</w:t>
            </w:r>
            <w:proofErr w:type="spellEnd"/>
            <w:r w:rsidRPr="008E3121">
              <w:rPr>
                <w:sz w:val="24"/>
                <w:szCs w:val="24"/>
                <w:lang w:val="ru-RU"/>
              </w:rPr>
              <w:t>), спектральная классификация звезд, параллакс, реликтовое излучение, Большой Взрыв, черная дыра;</w:t>
            </w:r>
            <w:proofErr w:type="gramEnd"/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смысл физических величин: парсек, световой год, астрономическая единица, звездная величина;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смысл физического закона Хаббла;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основные этапы освоения космического пространства;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гипотезы происхождения Солнечной системы;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основные характеристики и строение Солнца, солнечной атмосферы;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размеры Галактики, положение и период обращения Солнца относительно центра Галактики;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уметь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 — светимость», физические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 xml:space="preserve">• находить на небе основные созвездия Северного полушария, в том числе: </w:t>
            </w:r>
            <w:proofErr w:type="gramStart"/>
            <w:r w:rsidRPr="008E3121">
              <w:rPr>
                <w:sz w:val="24"/>
                <w:szCs w:val="24"/>
                <w:lang w:val="ru-RU"/>
              </w:rPr>
              <w:t>Большая Медведица, Малая Медведица, Волопас, Лебедь, Кассиопея, Орион; самые яркие звезды, в том числе:</w:t>
            </w:r>
            <w:proofErr w:type="gramEnd"/>
            <w:r w:rsidRPr="008E3121">
              <w:rPr>
                <w:sz w:val="24"/>
                <w:szCs w:val="24"/>
                <w:lang w:val="ru-RU"/>
              </w:rPr>
              <w:t xml:space="preserve"> Полярная звезда, Арктур, Вега, Капелла, Сириус, Бетельгейзе;</w:t>
            </w:r>
          </w:p>
          <w:p w:rsidR="008E3121" w:rsidRPr="008E3121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использовать компьютерные приложения для определения положения Солнца, Луны и звезд на любую дату и время суток для данного населенного пункта;</w:t>
            </w:r>
          </w:p>
          <w:p w:rsidR="00EA7523" w:rsidRPr="003C03BB" w:rsidRDefault="008E3121" w:rsidP="008E3121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8E3121">
              <w:rPr>
                <w:sz w:val="24"/>
                <w:szCs w:val="24"/>
                <w:lang w:val="ru-RU"/>
              </w:rPr>
              <w:t>• использовать приобретенные знания и умения в практической деятельности и повседневной жизни для понимания взаимосвязи астрономии с другими науками, в основе которых лежат знания по астрономии; отделения ее от лженаук; оценивания информации, содержащейся в сообщениях СМИ, Интернете, научно-популярных статьях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 xml:space="preserve">Критерии и нормы оценки </w:t>
            </w:r>
            <w:proofErr w:type="gramStart"/>
            <w:r w:rsidRPr="008E3121">
              <w:rPr>
                <w:lang w:val="ru-RU"/>
              </w:rPr>
              <w:t>обучающихся</w:t>
            </w:r>
            <w:proofErr w:type="gramEnd"/>
            <w:r w:rsidRPr="008E3121">
              <w:rPr>
                <w:lang w:val="ru-RU"/>
              </w:rPr>
              <w:t xml:space="preserve"> по астрономии.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устных ответов учащихся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 xml:space="preserve">Оценка «5»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астрономических величин, их единиц и способов измерения; правильно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астрономии, а также с </w:t>
            </w:r>
            <w:proofErr w:type="gramStart"/>
            <w:r w:rsidRPr="008E3121">
              <w:rPr>
                <w:lang w:val="ru-RU"/>
              </w:rPr>
              <w:t>материалом</w:t>
            </w:r>
            <w:proofErr w:type="gramEnd"/>
            <w:r w:rsidRPr="008E3121">
              <w:rPr>
                <w:lang w:val="ru-RU"/>
              </w:rPr>
              <w:t xml:space="preserve"> усвоенным при изучении других предметов.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«4» 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gramStart"/>
            <w:r w:rsidRPr="008E3121">
              <w:rPr>
                <w:lang w:val="ru-RU"/>
              </w:rPr>
              <w:t>Оценка «3» ставится в том случае, если учащийся правильно понимает физическую сущность рассматриваемых явлений и закономерностей в астрономии, но в ответе имеются отдельные пробелы в усвоении вопросов курса астрономии;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      </w:r>
            <w:proofErr w:type="gramEnd"/>
            <w:r w:rsidRPr="008E3121">
              <w:rPr>
                <w:lang w:val="ru-RU"/>
              </w:rPr>
              <w:t xml:space="preserve"> допустил не более одной грубой и одной негрубой ошибки, не более двух-трех негрубых недочетов.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«2» 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«3».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тестов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«5» ставится за работу в том случае, если обучающийся набрал от 90% до 100% максимального балла.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«4» ставится за работу в том случае, если обучающийся набрал от 50% до 90% максимального балла.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«3» ставится за работу в том случае, если обучающийся набрал 50% максимального балла.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«2» ставится за работу в том случае, если обучающийся набрал менее 50% максимального балла.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самостоятельных и контрольных работ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lastRenderedPageBreak/>
              <w:t xml:space="preserve">Оценка «5» ставится за работу, выполненную полностью без ошибок и недочетов.  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«4» ставится за работу, выполненную полностью, но при наличии не более одной ошибки и одного недочета, не более трех недочетов.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«3» 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«2» ставится за работу, в которой число ошибок и недочетов превысило норму для оценки 3 или правильно выполнено менее 2/3 работы.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практических работ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«5» ставится в том случае, если учащийся выполнил работу в полном объеме с соблюдением необходимой последовательности проведения наблюдения; все наблюдения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«4» 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«3» 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Оценка «2» 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Во всех случаях оценка снижается, если учащийся не соблюдал требований правил безопасного труда.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Перечень ошибок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I. Грубые ошибки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2.  Неумение выделять в ответе главное.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 xml:space="preserve">3. Неумение применять знания для решения задач и объяснения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      </w:r>
            <w:proofErr w:type="gramStart"/>
            <w:r w:rsidRPr="008E3121">
              <w:rPr>
                <w:lang w:val="ru-RU"/>
              </w:rPr>
              <w:t>решенным</w:t>
            </w:r>
            <w:proofErr w:type="gramEnd"/>
            <w:r w:rsidRPr="008E3121">
              <w:rPr>
                <w:lang w:val="ru-RU"/>
              </w:rPr>
              <w:t xml:space="preserve"> в классе; ошибки, показывающие неправильное понимание условия задачи или неправильное истолкование решения.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4. Неумение читать и строить графики и принципиальные схемы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5. Нарушение требований правил безопасного труда при выполнении практически работ.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II. Негрубые ошибки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lastRenderedPageBreak/>
              <w:t>1.</w:t>
            </w:r>
            <w:r w:rsidRPr="008E3121">
              <w:rPr>
                <w:lang w:val="ru-RU"/>
              </w:rPr>
              <w:tab/>
      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2.</w:t>
            </w:r>
            <w:r w:rsidRPr="008E3121">
              <w:rPr>
                <w:lang w:val="ru-RU"/>
              </w:rPr>
              <w:tab/>
              <w:t>Ошибки в условных обозначениях на принципиальных схемах, неточности чертежей, графиков, схем.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3.</w:t>
            </w:r>
            <w:r w:rsidRPr="008E3121">
              <w:rPr>
                <w:lang w:val="ru-RU"/>
              </w:rPr>
              <w:tab/>
              <w:t>Пропуск или неточное написание наименований астрономических единиц Нерациональный выбор хода решения.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III. Недочеты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1.</w:t>
            </w:r>
            <w:r w:rsidRPr="008E3121">
              <w:rPr>
                <w:lang w:val="ru-RU"/>
              </w:rPr>
              <w:tab/>
              <w:t>Нерациональные записи при вычислениях, нерациональные приемы вычислений, преобразований и решения задач.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2.</w:t>
            </w:r>
            <w:r w:rsidRPr="008E3121">
              <w:rPr>
                <w:lang w:val="ru-RU"/>
              </w:rPr>
              <w:tab/>
              <w:t>Арифметические ошибки в вычислениях, если эти ошибки грубо не искажают реальность полученного результата.</w:t>
            </w:r>
          </w:p>
          <w:p w:rsidR="008E3121" w:rsidRPr="008E3121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3.</w:t>
            </w:r>
            <w:r w:rsidRPr="008E3121">
              <w:rPr>
                <w:lang w:val="ru-RU"/>
              </w:rPr>
              <w:tab/>
              <w:t>Отдельные погрешности в формулировке вопроса или ответа.</w:t>
            </w:r>
          </w:p>
          <w:p w:rsidR="00EA7523" w:rsidRPr="003C03BB" w:rsidRDefault="008E3121" w:rsidP="008E3121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8E3121">
              <w:rPr>
                <w:lang w:val="ru-RU"/>
              </w:rPr>
              <w:t>4.</w:t>
            </w:r>
            <w:r w:rsidRPr="008E3121">
              <w:rPr>
                <w:lang w:val="ru-RU"/>
              </w:rPr>
              <w:tab/>
              <w:t>Небрежное выполнение записей, чертежей, схем, графиков. Орфографические и пунктуационные ошибки.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F68E5"/>
    <w:rsid w:val="00145CCB"/>
    <w:rsid w:val="00173EF1"/>
    <w:rsid w:val="001D5A9C"/>
    <w:rsid w:val="0031625C"/>
    <w:rsid w:val="003C03BB"/>
    <w:rsid w:val="007E6B4A"/>
    <w:rsid w:val="008143DA"/>
    <w:rsid w:val="00856EF0"/>
    <w:rsid w:val="00890880"/>
    <w:rsid w:val="00896EFA"/>
    <w:rsid w:val="008E3121"/>
    <w:rsid w:val="00B30B37"/>
    <w:rsid w:val="00D3364F"/>
    <w:rsid w:val="00DE2842"/>
    <w:rsid w:val="00EA7523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2021-01-13T08:33:00Z</dcterms:created>
  <dcterms:modified xsi:type="dcterms:W3CDTF">2021-01-13T08:33:00Z</dcterms:modified>
</cp:coreProperties>
</file>